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30" w:firstLineChars="196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作品推荐参考指标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2"/>
        <w:tblW w:w="7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9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99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99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99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99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高等教育组作品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使用量应达到一定规模。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．微课</w:t>
      </w:r>
    </w:p>
    <w:tbl>
      <w:tblPr>
        <w:tblStyle w:val="2"/>
        <w:tblW w:w="7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14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614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614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614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614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firstLine="5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2"/>
        <w:tblpPr w:leftFromText="180" w:rightFromText="180" w:vertAnchor="text" w:horzAnchor="page" w:tblpX="1790" w:tblpY="181"/>
        <w:tblOverlap w:val="never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680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680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680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8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line="440" w:lineRule="exact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hAnsi="Courier New" w:eastAsia="仿宋_GB2312" w:cs="Courier New"/>
          <w:sz w:val="28"/>
          <w:szCs w:val="28"/>
        </w:rPr>
        <w:t>信息化教学课程案例</w:t>
      </w:r>
    </w:p>
    <w:tbl>
      <w:tblPr>
        <w:tblStyle w:val="2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</w:t>
            </w:r>
          </w:p>
        </w:tc>
        <w:tc>
          <w:tcPr>
            <w:tcW w:w="6784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教学实施</w:t>
            </w:r>
          </w:p>
        </w:tc>
        <w:tc>
          <w:tcPr>
            <w:tcW w:w="6784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6784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spacing w:line="440" w:lineRule="exact"/>
        <w:ind w:firstLine="540"/>
        <w:jc w:val="left"/>
        <w:rPr>
          <w:rFonts w:hint="eastAsia"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  <w:lang w:val="en-US" w:eastAsia="zh-CN"/>
        </w:rPr>
        <w:t>5</w:t>
      </w:r>
      <w:r>
        <w:rPr>
          <w:rFonts w:hint="eastAsia" w:ascii="仿宋_GB2312" w:hAnsi="Courier New" w:eastAsia="仿宋_GB2312" w:cs="Courier New"/>
          <w:sz w:val="28"/>
          <w:szCs w:val="28"/>
        </w:rPr>
        <w:t>.职业教育实践性教学案例</w:t>
      </w:r>
    </w:p>
    <w:tbl>
      <w:tblPr>
        <w:tblStyle w:val="3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b/>
                <w:sz w:val="28"/>
                <w:szCs w:val="28"/>
              </w:rPr>
              <w:t>推荐指标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2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内容设计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内容相对稳定、独立完整，与职业岗位活动紧密结合，精准对位</w:t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职业岗位</w:t>
            </w: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能力和企业需。视频课、资源包等配套资源数量丰富、内容完整、颗粒化程度高，应用方便。过程性测试题呈现适时，结课性试题呈现完整、内容丰富，满足平台运行条件</w:t>
            </w:r>
            <w:r>
              <w:rPr>
                <w:rFonts w:hint="eastAsia" w:ascii="仿宋_GB2312" w:eastAsia="仿宋_GB2312" w:hAnsiTheme="minorEastAsia" w:cstheme="minorBidi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教学设计</w:t>
            </w:r>
          </w:p>
        </w:tc>
        <w:tc>
          <w:tcPr>
            <w:tcW w:w="585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注重教学设计，教学目标明确，教学方法得当。注重在教学中引入行业里手和能工巧匠，开展双师（多师）协同教学。充分运用信息技术手段破解教学重点、难点内容，数字教学媒体运用适宜</w:t>
            </w:r>
            <w:r>
              <w:rPr>
                <w:rFonts w:hint="eastAsia" w:ascii="仿宋_GB2312" w:eastAsia="仿宋_GB2312" w:hAnsiTheme="minorEastAsia" w:cstheme="minorBidi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呈现设计</w:t>
            </w:r>
          </w:p>
        </w:tc>
        <w:tc>
          <w:tcPr>
            <w:tcW w:w="585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遵循教学媒体呈现规律，注重教学媒体呈现设计。视频课、资源包等数字教学媒体呈现与教师讲解、教学内容等适配度高。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视频课双师授课呈现科学、符合教学需求</w:t>
            </w:r>
            <w:r>
              <w:rPr>
                <w:rFonts w:hint="eastAsia" w:ascii="仿宋_GB2312" w:eastAsia="仿宋_GB2312" w:hAnsiTheme="minorEastAsia" w:cstheme="minorBidi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应用与创新</w:t>
            </w:r>
          </w:p>
        </w:tc>
        <w:tc>
          <w:tcPr>
            <w:tcW w:w="585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28"/>
              </w:rPr>
              <w:t>开放共享程度高，具有一定的示范性。视频课引入企业活动信息实时、准确，教学模式具备一定创新性</w:t>
            </w:r>
            <w:r>
              <w:rPr>
                <w:rFonts w:hint="eastAsia" w:ascii="仿宋_GB2312" w:eastAsia="仿宋_GB2312" w:hAnsiTheme="minorEastAsia" w:cstheme="minorBidi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440" w:lineRule="exact"/>
        <w:ind w:firstLine="540"/>
        <w:jc w:val="left"/>
        <w:rPr>
          <w:rFonts w:hint="eastAsia"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  <w:lang w:val="en-US" w:eastAsia="zh-CN"/>
        </w:rPr>
        <w:t>6.</w:t>
      </w:r>
      <w:r>
        <w:rPr>
          <w:rFonts w:hint="eastAsia" w:ascii="仿宋_GB2312" w:hAnsi="Courier New" w:eastAsia="仿宋_GB2312" w:cs="Courier New"/>
          <w:sz w:val="28"/>
          <w:szCs w:val="28"/>
        </w:rPr>
        <w:t>职业教育数字教材（活页式）</w:t>
      </w:r>
    </w:p>
    <w:tbl>
      <w:tblPr>
        <w:tblStyle w:val="2"/>
        <w:tblW w:w="79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0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0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教材内容</w:t>
            </w:r>
          </w:p>
        </w:tc>
        <w:tc>
          <w:tcPr>
            <w:tcW w:w="602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定位准确，思想观点正确，符合辩正唯物主义，注意培养学生的基础文化素养和综合职业素质，符合中、高职学生学习特点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注重岗位技能，体现职教特色。适应结构化、模块化教学需求，以真实生产项目、典型工作任务、案例等为载体设计和组织教学单元。具有良好扩展性，满足快速更新需求。无政治性、科学性、知识性错误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符合课程内在逻辑体系和学生认知发展规律，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符合行业、企业人才培养目标，取材合适，支持学生自主学习和教师教学需求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教材设计</w:t>
            </w:r>
          </w:p>
        </w:tc>
        <w:tc>
          <w:tcPr>
            <w:tcW w:w="602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教材结构设计科学、规范，教材目录所呈现的体例等设计科学、完整，</w:t>
            </w:r>
            <w:r>
              <w:rPr>
                <w:rFonts w:ascii="仿宋_GB2312" w:hAnsi="宋体" w:eastAsia="仿宋_GB2312"/>
                <w:sz w:val="28"/>
                <w:szCs w:val="28"/>
              </w:rPr>
              <w:t>突出活页式教材结构设计特征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文字规范、简练，语言流畅、通俗易懂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02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具备适当的交互功能，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提供有效的教学反馈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媒体设计</w:t>
            </w:r>
          </w:p>
        </w:tc>
        <w:tc>
          <w:tcPr>
            <w:tcW w:w="602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教学资源富媒体化，创设真实、沉浸式教学环境，注重交互体验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界面设计简明，布局合理，整体风格统一。色彩搭配协调，重点突出，符合视觉心理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技术规范</w:t>
            </w:r>
          </w:p>
        </w:tc>
        <w:tc>
          <w:tcPr>
            <w:tcW w:w="602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采用主流技术，符合国家相关标准，有完整的技术文档，附带数字教材运行所需插件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支持常用格式，提供关键检索信息和检索标记，支持字典查阅；差错率低于万分之一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9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支持多终端阅读，具有书签等阅读功能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440" w:lineRule="exact"/>
        <w:ind w:firstLine="540"/>
        <w:jc w:val="left"/>
        <w:rPr>
          <w:rFonts w:hint="eastAsia"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  <w:lang w:val="en-US" w:eastAsia="zh-CN"/>
        </w:rPr>
        <w:t>7.</w:t>
      </w:r>
      <w:r>
        <w:rPr>
          <w:rFonts w:hint="eastAsia" w:ascii="仿宋_GB2312" w:hAnsi="Courier New" w:eastAsia="仿宋_GB2312" w:cs="Courier New"/>
          <w:sz w:val="28"/>
          <w:szCs w:val="28"/>
        </w:rPr>
        <w:t>职业教育数字教材（活页式）体例设计与样章</w:t>
      </w:r>
    </w:p>
    <w:tbl>
      <w:tblPr>
        <w:tblStyle w:val="2"/>
        <w:tblW w:w="78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8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教材目录</w:t>
            </w: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教材目录所呈现的教材结构、体例等设计科学、完整，符合课程标准，注重岗位技能，体现活页式教材结构特征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编写大纲</w:t>
            </w: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创作依据充分，完整规范、步骤清晰，突出职教特色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0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数字教材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样章</w:t>
            </w: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符合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行业、企业人才培养目标和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学生认知发展规律，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取材合适，具有较好的代表性，容量恰当，以活页式形式呈现一个完整的模块化内容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适应结构化、模块化教学需求，以真实生产项目、典型工作任务、案例等为载体设计和组织教学内容。具有良好扩展性，满足快速更新需求。无政治性、科学性、知识性错误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具备适当的交互功能，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提供有效的教学反馈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教学资源富媒体化，创设真实、沉浸式教学环境，注重交互体验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20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技术规范</w:t>
            </w: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采用主流技术，符合国家相关标准，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支持多终端阅读，具有书签等阅读功能，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附带数字教材运行所需插件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0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58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支持常用格式，提供关键检索信息和检索标记，支持字典查阅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CFD0"/>
    <w:multiLevelType w:val="singleLevel"/>
    <w:tmpl w:val="2C43CFD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07F51"/>
    <w:rsid w:val="576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2022-06-06T07:39:00Z</dcterms:created>
  <dc:creator>Administrator</dc:creator>
  <cp:lastModifiedBy>xyn</cp:lastModifiedBy>
  <dcterms:modified xsi:type="dcterms:W3CDTF">2022-06-06T07:40:45Z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